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陕西省农业协同创新与推广联盟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ascii="黑体" w:hAnsi="黑体" w:eastAsia="黑体" w:cs="黑体"/>
          <w:color w:val="000000"/>
          <w:kern w:val="0"/>
          <w:sz w:val="36"/>
          <w:szCs w:val="36"/>
        </w:rPr>
        <w:t>201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年示范推广项目资助名单</w:t>
      </w:r>
    </w:p>
    <w:bookmarkEnd w:id="0"/>
    <w:p>
      <w:pPr>
        <w:spacing w:line="240" w:lineRule="exact"/>
        <w:jc w:val="center"/>
        <w:rPr>
          <w:rFonts w:ascii="黑体" w:hAnsi="黑体" w:eastAsia="黑体" w:cs="Times New Roman"/>
          <w:sz w:val="36"/>
          <w:szCs w:val="36"/>
        </w:rPr>
      </w:pPr>
    </w:p>
    <w:tbl>
      <w:tblPr>
        <w:tblStyle w:val="4"/>
        <w:tblW w:w="12727" w:type="dxa"/>
        <w:jc w:val="center"/>
        <w:tblInd w:w="0" w:type="dxa"/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429"/>
        <w:gridCol w:w="1695"/>
        <w:gridCol w:w="1320"/>
        <w:gridCol w:w="4935"/>
        <w:gridCol w:w="1080"/>
        <w:gridCol w:w="2268"/>
      </w:tblGrid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资助金额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执行期限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世纪荣华投资控股集团有限公司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徐凌飞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翡翠梨优选和优质省力化栽培技术示范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.01-201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安康市农业科学研究所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唐晓东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魔芋精粉的降解工艺及在食品中的应用研究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.01-201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渭南市农业科学研究所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赵银平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三红”胡萝卜新品种及全程机械化栽培技术示范与推广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.01-201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宝鸡市农业科学研究院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毋万来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苹果自根砧营养钵大苗繁育技术开发及推广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.01-201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陕西省杂交油菜研究中心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关周博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春油菜区抗旱型油菜品种的示范与推广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.01-201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榆林市农业科学研究院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吕婧娴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榆林市北部风沙区山药栽培技术示范与推广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.01-201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西安市农业技术推广中心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涛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果园生草（鼠茅草）试验示范与推广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.01-201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7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汉中市农业科学研究所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玲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延胡索高效栽培技术应用及推广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.01-201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7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资助金额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执行期限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延安市农业科学研究所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王改改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菊芋新品种引进试验推广及菊粉加工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.01-201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咸阳市农业科学研究院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刘鲜艳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苹果新型矮化自根砧引进、示范及推广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.01-201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商洛市林业科学研究所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刁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核桃新品种高接改造示范与推广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.01-201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商洛市农业科学研究所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曹建刚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袋栽黑木耳主推技术研究与示范推广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.01-201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3" w:hRule="atLeast"/>
          <w:jc w:val="center"/>
        </w:trPr>
        <w:tc>
          <w:tcPr>
            <w:tcW w:w="9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spacing w:line="20" w:lineRule="exact"/>
        <w:rPr>
          <w:rFonts w:cs="Times New Roma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Times New Roman" w:hAnsi="Times New Roman" w:cs="Times New Roman"/>
          <w:color w:val="000000"/>
          <w:sz w:val="22"/>
          <w:szCs w:val="22"/>
          <w:lang w:val="en-US" w:eastAsia="zh-CN"/>
        </w:rPr>
        <w:t>说明：</w:t>
      </w:r>
      <w:r>
        <w:rPr>
          <w:rFonts w:hint="eastAsia" w:ascii="Times New Roman" w:hAnsi="Times New Roman" w:cs="Times New Roman"/>
          <w:color w:val="000000"/>
          <w:sz w:val="22"/>
          <w:szCs w:val="22"/>
        </w:rPr>
        <w:t>世纪荣华投资控股集团有限公司</w:t>
      </w:r>
      <w:r>
        <w:rPr>
          <w:rFonts w:hint="eastAsia" w:ascii="Times New Roman" w:hAnsi="Times New Roman" w:cs="Times New Roman"/>
          <w:color w:val="000000"/>
          <w:sz w:val="22"/>
          <w:szCs w:val="22"/>
          <w:lang w:eastAsia="zh-CN"/>
        </w:rPr>
        <w:t>项目由西北农林科技大学园艺学院承担，项目经费拨付项目承担单位。</w:t>
      </w:r>
    </w:p>
    <w:p>
      <w:pPr>
        <w:rPr>
          <w:rFonts w:ascii="宋体" w:hAnsi="宋体" w:cs="宋体"/>
          <w:sz w:val="28"/>
          <w:szCs w:val="28"/>
        </w:rPr>
      </w:pPr>
    </w:p>
    <w:p>
      <w:pPr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-SA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474" w:right="1417" w:bottom="1814" w:left="1417" w:header="851" w:footer="992" w:gutter="0"/>
          <w:pgNumType w:fmt="numberInDash"/>
          <w:cols w:space="720" w:num="1"/>
          <w:titlePg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C5998"/>
    <w:rsid w:val="5CE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2018-05-11T01:52:00Z</dcterms:created>
  <dc:creator>Administrator</dc:creator>
  <cp:lastModifiedBy>Administrator</cp:lastModifiedBy>
  <dcterms:modified xsi:type="dcterms:W3CDTF">2018-05-11T01:54:06Z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